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jc w:val="center"/>
        <w:rPr>
          <w:rFonts w:cs="Times New Roman"/>
          <w:b/>
          <w:bCs/>
          <w:sz w:val="36"/>
          <w:szCs w:val="36"/>
        </w:rPr>
      </w:pPr>
      <w:r>
        <w:rPr>
          <w:rFonts w:hint="eastAsia" w:cs="宋体"/>
          <w:b/>
          <w:bCs/>
          <w:sz w:val="36"/>
          <w:szCs w:val="36"/>
        </w:rPr>
        <w:t>企</w:t>
      </w:r>
      <w:r>
        <w:rPr>
          <w:b/>
          <w:bCs/>
          <w:sz w:val="36"/>
          <w:szCs w:val="36"/>
        </w:rPr>
        <w:t xml:space="preserve">  </w:t>
      </w:r>
      <w:r>
        <w:rPr>
          <w:rFonts w:hint="eastAsia" w:cs="宋体"/>
          <w:b/>
          <w:bCs/>
          <w:sz w:val="36"/>
          <w:szCs w:val="36"/>
        </w:rPr>
        <w:t>业</w:t>
      </w:r>
      <w:r>
        <w:rPr>
          <w:b/>
          <w:bCs/>
          <w:sz w:val="36"/>
          <w:szCs w:val="36"/>
        </w:rPr>
        <w:t xml:space="preserve">  </w:t>
      </w:r>
      <w:r>
        <w:rPr>
          <w:rFonts w:hint="eastAsia" w:cs="宋体"/>
          <w:b/>
          <w:bCs/>
          <w:sz w:val="36"/>
          <w:szCs w:val="36"/>
        </w:rPr>
        <w:t>简</w:t>
      </w:r>
      <w:r>
        <w:rPr>
          <w:b/>
          <w:bCs/>
          <w:sz w:val="36"/>
          <w:szCs w:val="36"/>
        </w:rPr>
        <w:t xml:space="preserve">  </w:t>
      </w:r>
      <w:r>
        <w:rPr>
          <w:rFonts w:hint="eastAsia" w:cs="宋体"/>
          <w:b/>
          <w:bCs/>
          <w:sz w:val="36"/>
          <w:szCs w:val="36"/>
        </w:rPr>
        <w:t>介</w:t>
      </w:r>
    </w:p>
    <w:p>
      <w:pPr>
        <w:ind w:firstLine="560" w:firstLineChars="200"/>
        <w:rPr>
          <w:rFonts w:cs="Times New Roman" w:asciiTheme="minorEastAsia" w:hAnsiTheme="minorEastAsia" w:eastAsiaTheme="minorEastAsia"/>
          <w:sz w:val="28"/>
          <w:szCs w:val="28"/>
        </w:rPr>
      </w:pPr>
      <w:r>
        <w:rPr>
          <w:rFonts w:hint="eastAsia" w:cs="宋体" w:asciiTheme="minorEastAsia" w:hAnsiTheme="minorEastAsia" w:eastAsiaTheme="minorEastAsia"/>
          <w:sz w:val="28"/>
          <w:szCs w:val="28"/>
        </w:rPr>
        <w:t>芜湖城市建设集团有限公司成立于</w:t>
      </w:r>
      <w:r>
        <w:rPr>
          <w:rFonts w:asciiTheme="minorEastAsia" w:hAnsiTheme="minorEastAsia" w:eastAsiaTheme="minorEastAsia"/>
          <w:sz w:val="28"/>
          <w:szCs w:val="28"/>
        </w:rPr>
        <w:t>2015</w:t>
      </w:r>
      <w:r>
        <w:rPr>
          <w:rFonts w:hint="eastAsia" w:cs="宋体" w:asciiTheme="minorEastAsia" w:hAnsiTheme="minorEastAsia" w:eastAsiaTheme="minorEastAsia"/>
          <w:sz w:val="28"/>
          <w:szCs w:val="28"/>
        </w:rPr>
        <w:t>年</w:t>
      </w:r>
      <w:r>
        <w:rPr>
          <w:rFonts w:asciiTheme="minorEastAsia" w:hAnsiTheme="minorEastAsia" w:eastAsiaTheme="minorEastAsia"/>
          <w:sz w:val="28"/>
          <w:szCs w:val="28"/>
        </w:rPr>
        <w:t>1</w:t>
      </w:r>
      <w:r>
        <w:rPr>
          <w:rFonts w:hint="eastAsia" w:cs="宋体" w:asciiTheme="minorEastAsia" w:hAnsiTheme="minorEastAsia" w:eastAsiaTheme="minorEastAsia"/>
          <w:sz w:val="28"/>
          <w:szCs w:val="28"/>
        </w:rPr>
        <w:t>月</w:t>
      </w:r>
      <w:r>
        <w:rPr>
          <w:rFonts w:asciiTheme="minorEastAsia" w:hAnsiTheme="minorEastAsia" w:eastAsiaTheme="minorEastAsia"/>
          <w:sz w:val="28"/>
          <w:szCs w:val="28"/>
        </w:rPr>
        <w:t>18</w:t>
      </w:r>
      <w:r>
        <w:rPr>
          <w:rFonts w:hint="eastAsia" w:cs="宋体" w:asciiTheme="minorEastAsia" w:hAnsiTheme="minorEastAsia" w:eastAsiaTheme="minorEastAsia"/>
          <w:sz w:val="28"/>
          <w:szCs w:val="28"/>
        </w:rPr>
        <w:t>日，是原芜湖市市政工程管理处管养分离改革新组建的国有企业集团。注册地址为芜湖市镜湖区，是芜湖市国资委直接管理的国有独资企业。</w:t>
      </w:r>
    </w:p>
    <w:p>
      <w:pPr>
        <w:ind w:firstLine="560" w:firstLineChars="200"/>
        <w:rPr>
          <w:rFonts w:cs="Times New Roman" w:asciiTheme="minorEastAsia" w:hAnsiTheme="minorEastAsia" w:eastAsiaTheme="minorEastAsia"/>
          <w:sz w:val="28"/>
          <w:szCs w:val="28"/>
        </w:rPr>
      </w:pPr>
      <w:r>
        <w:rPr>
          <w:rFonts w:hint="eastAsia" w:cs="宋体" w:asciiTheme="minorEastAsia" w:hAnsiTheme="minorEastAsia" w:eastAsiaTheme="minorEastAsia"/>
          <w:sz w:val="28"/>
          <w:szCs w:val="28"/>
        </w:rPr>
        <w:t>集团公司主营业务包括市政道路、桥梁、雨污水、路灯亮化、泵站、绿化设施的设计、施工和养护，同时在路基路面材料、预制构件生产、试验检测、污水处理设施运营管理、机械设备租赁维修、物业管理、生活垃圾无害化处理等领域开展业务。</w:t>
      </w:r>
    </w:p>
    <w:p>
      <w:pPr>
        <w:ind w:firstLine="560" w:firstLineChars="200"/>
        <w:rPr>
          <w:rFonts w:cs="Times New Roman" w:asciiTheme="minorEastAsia" w:hAnsiTheme="minorEastAsia" w:eastAsiaTheme="minorEastAsia"/>
          <w:sz w:val="28"/>
          <w:szCs w:val="28"/>
        </w:rPr>
      </w:pPr>
      <w:r>
        <w:rPr>
          <w:rFonts w:hint="eastAsia" w:cs="宋体" w:asciiTheme="minorEastAsia" w:hAnsiTheme="minorEastAsia" w:eastAsiaTheme="minorEastAsia"/>
          <w:sz w:val="28"/>
          <w:szCs w:val="28"/>
        </w:rPr>
        <w:t>集团公司目前拥有市政公用工程施工总承包壹级、建筑工程施工总承包贰级、城市园林绿化工程专业承包贰级和城市及道路照明工程专业承包叁级资质，控股公司拥有市政公用工程总承包、城市及道路照明工程专业承包、城市园林绿化工程专业承包、市政设计等资质共计</w:t>
      </w:r>
      <w:r>
        <w:rPr>
          <w:rFonts w:hint="eastAsia" w:asciiTheme="minorEastAsia" w:hAnsiTheme="minorEastAsia" w:eastAsiaTheme="minorEastAsia"/>
          <w:sz w:val="28"/>
          <w:szCs w:val="28"/>
        </w:rPr>
        <w:t>19项</w:t>
      </w:r>
      <w:r>
        <w:rPr>
          <w:rFonts w:hint="eastAsia" w:cs="宋体" w:asciiTheme="minorEastAsia" w:hAnsiTheme="minorEastAsia" w:eastAsiaTheme="minorEastAsia"/>
          <w:sz w:val="28"/>
          <w:szCs w:val="28"/>
        </w:rPr>
        <w:t>。</w:t>
      </w:r>
    </w:p>
    <w:p>
      <w:pPr>
        <w:ind w:firstLine="560" w:firstLineChars="200"/>
        <w:rPr>
          <w:rFonts w:cs="Times New Roman" w:asciiTheme="minorEastAsia" w:hAnsiTheme="minorEastAsia" w:eastAsiaTheme="minorEastAsia"/>
          <w:sz w:val="28"/>
          <w:szCs w:val="28"/>
        </w:rPr>
      </w:pPr>
      <w:r>
        <w:rPr>
          <w:rFonts w:hint="eastAsia" w:cs="宋体" w:asciiTheme="minorEastAsia" w:hAnsiTheme="minorEastAsia" w:eastAsiaTheme="minorEastAsia"/>
          <w:sz w:val="28"/>
          <w:szCs w:val="28"/>
        </w:rPr>
        <w:t>集团公司目前在册员工近四百人，其中一级建造师</w:t>
      </w:r>
      <w:r>
        <w:rPr>
          <w:rFonts w:hint="eastAsia" w:asciiTheme="minorEastAsia" w:hAnsiTheme="minorEastAsia" w:eastAsiaTheme="minorEastAsia"/>
          <w:sz w:val="28"/>
          <w:szCs w:val="28"/>
        </w:rPr>
        <w:t>13</w:t>
      </w:r>
      <w:r>
        <w:rPr>
          <w:rFonts w:hint="eastAsia" w:cs="宋体" w:asciiTheme="minorEastAsia" w:hAnsiTheme="minorEastAsia" w:eastAsiaTheme="minorEastAsia"/>
          <w:sz w:val="28"/>
          <w:szCs w:val="28"/>
        </w:rPr>
        <w:t>人，二级建造师</w:t>
      </w:r>
      <w:r>
        <w:rPr>
          <w:rFonts w:hint="eastAsia" w:asciiTheme="minorEastAsia" w:hAnsiTheme="minorEastAsia" w:eastAsiaTheme="minorEastAsia"/>
          <w:sz w:val="28"/>
          <w:szCs w:val="28"/>
        </w:rPr>
        <w:t>40</w:t>
      </w:r>
      <w:r>
        <w:rPr>
          <w:rFonts w:hint="eastAsia" w:cs="宋体" w:asciiTheme="minorEastAsia" w:hAnsiTheme="minorEastAsia" w:eastAsiaTheme="minorEastAsia"/>
          <w:sz w:val="28"/>
          <w:szCs w:val="28"/>
        </w:rPr>
        <w:t>人，拥有高级职称</w:t>
      </w:r>
      <w:r>
        <w:rPr>
          <w:rFonts w:hint="eastAsia" w:asciiTheme="minorEastAsia" w:hAnsiTheme="minorEastAsia" w:eastAsiaTheme="minorEastAsia"/>
          <w:sz w:val="28"/>
          <w:szCs w:val="28"/>
        </w:rPr>
        <w:t>1</w:t>
      </w:r>
      <w:r>
        <w:rPr>
          <w:rFonts w:hint="eastAsia" w:cs="宋体" w:asciiTheme="minorEastAsia" w:hAnsiTheme="minorEastAsia" w:eastAsiaTheme="minorEastAsia"/>
          <w:sz w:val="28"/>
          <w:szCs w:val="28"/>
        </w:rPr>
        <w:t>人，初、中级职称</w:t>
      </w:r>
      <w:r>
        <w:rPr>
          <w:rFonts w:hint="eastAsia" w:asciiTheme="minorEastAsia" w:hAnsiTheme="minorEastAsia" w:eastAsiaTheme="minorEastAsia"/>
          <w:sz w:val="28"/>
          <w:szCs w:val="28"/>
        </w:rPr>
        <w:t>211</w:t>
      </w:r>
      <w:r>
        <w:rPr>
          <w:rFonts w:hint="eastAsia" w:cs="宋体" w:asciiTheme="minorEastAsia" w:hAnsiTheme="minorEastAsia" w:eastAsiaTheme="minorEastAsia"/>
          <w:sz w:val="28"/>
          <w:szCs w:val="28"/>
        </w:rPr>
        <w:t>人，各类技工</w:t>
      </w:r>
      <w:r>
        <w:rPr>
          <w:rFonts w:hint="eastAsia" w:asciiTheme="minorEastAsia" w:hAnsiTheme="minorEastAsia" w:eastAsiaTheme="minorEastAsia"/>
          <w:sz w:val="28"/>
          <w:szCs w:val="28"/>
        </w:rPr>
        <w:t>98</w:t>
      </w:r>
      <w:r>
        <w:rPr>
          <w:rFonts w:hint="eastAsia" w:cs="宋体" w:asciiTheme="minorEastAsia" w:hAnsiTheme="minorEastAsia" w:eastAsiaTheme="minorEastAsia"/>
          <w:sz w:val="28"/>
          <w:szCs w:val="28"/>
        </w:rPr>
        <w:t>人。</w:t>
      </w:r>
    </w:p>
    <w:p>
      <w:pPr>
        <w:ind w:firstLine="560" w:firstLineChars="200"/>
        <w:rPr>
          <w:rFonts w:cs="Times New Roman" w:asciiTheme="minorEastAsia" w:hAnsiTheme="minorEastAsia" w:eastAsiaTheme="minorEastAsia"/>
          <w:sz w:val="28"/>
          <w:szCs w:val="28"/>
        </w:rPr>
      </w:pPr>
      <w:r>
        <w:rPr>
          <w:rFonts w:hint="eastAsia" w:cs="宋体" w:asciiTheme="minorEastAsia" w:hAnsiTheme="minorEastAsia" w:eastAsiaTheme="minorEastAsia"/>
          <w:sz w:val="28"/>
          <w:szCs w:val="28"/>
        </w:rPr>
        <w:t>集团公司目前拥有机械设备</w:t>
      </w:r>
      <w:r>
        <w:rPr>
          <w:rFonts w:hint="eastAsia" w:asciiTheme="minorEastAsia" w:hAnsiTheme="minorEastAsia" w:eastAsiaTheme="minorEastAsia"/>
          <w:sz w:val="28"/>
          <w:szCs w:val="28"/>
        </w:rPr>
        <w:t>170</w:t>
      </w:r>
      <w:r>
        <w:rPr>
          <w:rFonts w:hint="eastAsia" w:cs="宋体" w:asciiTheme="minorEastAsia" w:hAnsiTheme="minorEastAsia" w:eastAsiaTheme="minorEastAsia"/>
          <w:sz w:val="28"/>
          <w:szCs w:val="28"/>
        </w:rPr>
        <w:t>余台套，主要分为场站类设备、路基路面施工设备、挖掘装载设备、吊装运输设备、非开挖施工设备、养护维修设备、应急抢险设备、试验检测设备和特种设备。</w:t>
      </w:r>
    </w:p>
    <w:p>
      <w:pPr>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集团公司全资控股公司包括：芜湖城瑞路桥建设有限公司、芜湖城光路灯亮化工程有限公司、芜湖润畅排水建设有限公司、芜湖城排泵站建设有限公司、芜湖市政通市政工程有限责任公司、芜湖市市政设计研究院有限责任公司。公司持有芜湖市城市泊车建设管理有限公司</w:t>
      </w:r>
      <w:r>
        <w:rPr>
          <w:rFonts w:asciiTheme="minorEastAsia" w:hAnsiTheme="minorEastAsia" w:eastAsiaTheme="minorEastAsia"/>
          <w:sz w:val="28"/>
          <w:szCs w:val="28"/>
        </w:rPr>
        <w:t>30%</w:t>
      </w:r>
      <w:r>
        <w:rPr>
          <w:rFonts w:hint="eastAsia" w:cs="宋体" w:asciiTheme="minorEastAsia" w:hAnsiTheme="minorEastAsia" w:eastAsiaTheme="minorEastAsia"/>
          <w:sz w:val="28"/>
          <w:szCs w:val="28"/>
        </w:rPr>
        <w:t>股份。</w:t>
      </w:r>
    </w:p>
    <w:p>
      <w:pPr>
        <w:ind w:firstLine="560" w:firstLineChars="200"/>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集团公司注册资本1亿元。2015年总产值约2亿元，实现利润约1500万元，总资产约11亿元，所有者权益1.1亿元。</w:t>
      </w:r>
    </w:p>
    <w:p>
      <w:pPr>
        <w:ind w:firstLine="560" w:firstLineChars="200"/>
        <w:jc w:val="righ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芜湖城市建设集团有限公司</w:t>
      </w:r>
    </w:p>
    <w:p>
      <w:pPr>
        <w:ind w:firstLine="560" w:firstLineChars="200"/>
        <w:jc w:val="right"/>
        <w:rPr>
          <w:rFonts w:cs="Times New Roman" w:asciiTheme="minorEastAsia" w:hAnsiTheme="minorEastAsia" w:eastAsiaTheme="minorEastAsia"/>
          <w:sz w:val="28"/>
          <w:szCs w:val="28"/>
        </w:rPr>
      </w:pPr>
      <w:bookmarkStart w:id="0" w:name="_GoBack"/>
      <w:bookmarkEnd w:id="0"/>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